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sz w:val="44"/>
          <w:szCs w:val="44"/>
        </w:rPr>
        <w:t xml:space="preserve"> 安徽审计职业学院学生评教管理办法(试行)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学生对教师课堂教学评价(以下简称“评教”)是学院教学质量监控的重要内容。为了进一步做好评教组织与管理工作,增强评教工作的科学性和有效性,不断完善教学质量保障和运行机制,制定本办法。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评教目的与对象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第二条 </w:t>
      </w:r>
      <w:r>
        <w:rPr>
          <w:rFonts w:hint="eastAsia" w:ascii="仿宋" w:hAnsi="仿宋" w:eastAsia="仿宋"/>
          <w:sz w:val="32"/>
          <w:szCs w:val="32"/>
        </w:rPr>
        <w:t>评教秉持“以评促教、以评促改、教学相长”的理念,充分发挥其在教学质量监控中的重要作用,充分调动学生参与课堂教学活动的积极性,引导和鼓励教师强化课堂教学管理,促进教师规范课堂教学行为和创新教学方法,不断提高课堂教学质量和教学效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参评人员为全体在校生,被评对象为所在学期有教学任务的教师。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评教方式与管理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第四条 </w:t>
      </w:r>
      <w:r>
        <w:rPr>
          <w:rFonts w:hint="eastAsia" w:ascii="仿宋" w:hAnsi="仿宋" w:eastAsia="仿宋"/>
          <w:sz w:val="32"/>
          <w:szCs w:val="32"/>
        </w:rPr>
        <w:t>学院评教工作由教务处牵头，教学系部相互配合共同完成。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教务处负责评教工作的组织和管理,主要包括评教管理办法的制(修)订，评教结果的汇总、分析和反馈等。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教学系部负责宣传动员，指导学生及时、客观、公正对教师进行评教。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学院评教依托学生考勤或其他平台进行,教务处负责对学生考勤或其他平台进行管理，并对评教情况进行监控。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非社招班级学生在每次课结束后对教师进行评教；社招班级学生在学期期末课程教学任务完成后集中对教师进行评教。学生评教必须由学生本人进行。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教务处加强对评教工作的监管，严禁学生恶意评教，严禁教师为评教优秀而故意迎合学生，或以不正当方式引导学生评教。对评教过程中出现违纪违规行为的教师,按学院相关规定处理。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评教结果与使用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学期（年）结束，教务处对有效评教数据进行汇总和计算。教师同一学年内所授课程评教成绩的平均分作为学年评教成绩。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/>
          <w:sz w:val="32"/>
          <w:szCs w:val="32"/>
        </w:rPr>
        <w:t xml:space="preserve"> 教务处将评教结果报分管教学院领导审阅，并根据学年教师教学业务身份归属向各教学系部进行反馈。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/>
          <w:sz w:val="32"/>
          <w:szCs w:val="32"/>
        </w:rPr>
        <w:t xml:space="preserve"> 学生评教是教师教学业务考核的组成部分，评教结果按《安徽审计职业学院教师教学业务量化考核管理办法》计入教师教学业务考核总分。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/>
          <w:sz w:val="32"/>
          <w:szCs w:val="32"/>
        </w:rPr>
        <w:t xml:space="preserve"> 对评教结果有异议的教师,教师可向教务处提出查询申请,教务处为教师提供其评教结果查询。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附则</w:t>
      </w:r>
    </w:p>
    <w:p>
      <w:pPr>
        <w:ind w:firstLine="536" w:firstLineChars="1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/>
          <w:sz w:val="32"/>
          <w:szCs w:val="32"/>
        </w:rPr>
        <w:t xml:space="preserve"> 本办法自发布之日起执行，由教务处负责解释。</w:t>
      </w: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  <w:rPr>
          <w:rFonts w:hint="eastAsia"/>
        </w:rPr>
      </w:pPr>
    </w:p>
    <w:p>
      <w:pPr>
        <w:spacing w:line="560" w:lineRule="exact"/>
        <w:ind w:firstLine="350" w:firstLineChars="167"/>
      </w:pPr>
    </w:p>
    <w:p>
      <w:pPr>
        <w:spacing w:line="3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360" w:lineRule="exact"/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安徽审计职业学院办公室           2021年8月5日印发   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407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DB"/>
    <w:rsid w:val="00016634"/>
    <w:rsid w:val="00103818"/>
    <w:rsid w:val="00210418"/>
    <w:rsid w:val="00282532"/>
    <w:rsid w:val="007959DB"/>
    <w:rsid w:val="00A16DB0"/>
    <w:rsid w:val="00B26F13"/>
    <w:rsid w:val="4F3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185</Words>
  <Characters>1055</Characters>
  <Lines>8</Lines>
  <Paragraphs>2</Paragraphs>
  <TotalTime>42</TotalTime>
  <ScaleCrop>false</ScaleCrop>
  <LinksUpToDate>false</LinksUpToDate>
  <CharactersWithSpaces>1238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2021-08-09T10:10:00Z</dcterms:created>
  <dc:creator>许惠兰</dc:creator>
  <cp:lastModifiedBy>何方小仙1383218960</cp:lastModifiedBy>
  <cp:lastPrinted>2021-08-10T02:24:00Z</cp:lastPrinted>
  <dcterms:modified xsi:type="dcterms:W3CDTF">2021-11-10T06:45:27Z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4A340827B5C448148779B5E94C9062C0</vt:lpwstr>
  </property>
</Properties>
</file>